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Fertilize Hub</w:t>
      </w:r>
    </w:p>
    <w:p>
      <w:r>
        <w:t>Documentação funcional e técnica | Versão 0.1 — 06/11/2026</w:t>
      </w:r>
    </w:p>
    <w:p>
      <w:r>
        <w:t>Status: protótipo inicial em desenvolvimento. Não utilizar em produção com dados reais antes de homologação e revisão de segurança.</w:t>
      </w:r>
    </w:p>
    <w:p>
      <w:pPr>
        <w:pStyle w:val="Heading1"/>
      </w:pPr>
      <w:r>
        <w:t>1. Resumo executivo</w:t>
      </w:r>
    </w:p>
    <w:p>
      <w:r>
        <w:t>Sistema interno da Fertilize Adubos para centralizar clientes, dados para emissão de pedidos (DEP), aprovações, acompanhamento comercial, relatórios e acesso por perfis. Nome escolhido: Fertilize Hub. Subdomínio previsto: hub.fertilize.com.br.</w:t>
      </w:r>
    </w:p>
    <w:p>
      <w:pPr>
        <w:pStyle w:val="Heading1"/>
      </w:pPr>
      <w:r>
        <w:t>2. Objetivos e usuários</w:t>
      </w:r>
    </w:p>
    <w:p>
      <w:pPr>
        <w:pStyle w:val="ListBullet"/>
      </w:pPr>
      <w:r>
        <w:t>Eliminar retrabalho no preenchimento de dados de clientes e entregas.</w:t>
      </w:r>
    </w:p>
    <w:p>
      <w:pPr>
        <w:pStyle w:val="ListBullet"/>
      </w:pPr>
      <w:r>
        <w:t>Calcular valores dos pedidos de maneira consistente, incluindo frete por tonelada.</w:t>
      </w:r>
    </w:p>
    <w:p>
      <w:pPr>
        <w:pStyle w:val="ListBullet"/>
      </w:pPr>
      <w:r>
        <w:t>Criar trilha de auditoria para aprovações e mudanças importantes.</w:t>
      </w:r>
    </w:p>
    <w:p>
      <w:pPr>
        <w:pStyle w:val="ListBullet"/>
      </w:pPr>
      <w:r>
        <w:t>Permitir consulta segregada de pedidos por cliente.</w:t>
      </w:r>
    </w:p>
    <w:p>
      <w:pPr>
        <w:pStyle w:val="ListBullet"/>
      </w:pPr>
      <w:r>
        <w:t>Preparar base para relatórios avançados e assistente de IA com regras de acesso.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Perfil</w:t>
            </w:r>
          </w:p>
        </w:tc>
        <w:tc>
          <w:tcPr>
            <w:tcW w:type="dxa" w:w="4320"/>
          </w:tcPr>
          <w:p>
            <w:r>
              <w:t>Atribuições propostas</w:t>
            </w:r>
          </w:p>
        </w:tc>
      </w:tr>
      <w:tr>
        <w:tc>
          <w:tcPr>
            <w:tcW w:type="dxa" w:w="4320"/>
          </w:tcPr>
          <w:p>
            <w:r>
              <w:t>Administrador</w:t>
            </w:r>
          </w:p>
        </w:tc>
        <w:tc>
          <w:tcPr>
            <w:tcW w:type="dxa" w:w="4320"/>
          </w:tcPr>
          <w:p>
            <w:r>
              <w:t>Gerencia usuários, acompanha pedidos e tem exclusão lógica autorizada.</w:t>
            </w:r>
          </w:p>
        </w:tc>
      </w:tr>
      <w:tr>
        <w:tc>
          <w:tcPr>
            <w:tcW w:type="dxa" w:w="4320"/>
          </w:tcPr>
          <w:p>
            <w:r>
              <w:t>Gestor</w:t>
            </w:r>
          </w:p>
        </w:tc>
        <w:tc>
          <w:tcPr>
            <w:tcW w:type="dxa" w:w="4320"/>
          </w:tcPr>
          <w:p>
            <w:r>
              <w:t>Analisa e aprova pedidos; gerencia clientes e relatórios.</w:t>
            </w:r>
          </w:p>
        </w:tc>
      </w:tr>
      <w:tr>
        <w:tc>
          <w:tcPr>
            <w:tcW w:type="dxa" w:w="4320"/>
          </w:tcPr>
          <w:p>
            <w:r>
              <w:t>Padrão / Vendedor</w:t>
            </w:r>
          </w:p>
        </w:tc>
        <w:tc>
          <w:tcPr>
            <w:tcW w:type="dxa" w:w="4320"/>
          </w:tcPr>
          <w:p>
            <w:r>
              <w:t>Preenche pedidos DEP, acompanha a operação.</w:t>
            </w:r>
          </w:p>
        </w:tc>
      </w:tr>
      <w:tr>
        <w:tc>
          <w:tcPr>
            <w:tcW w:type="dxa" w:w="4320"/>
          </w:tcPr>
          <w:p>
            <w:r>
              <w:t>Cliente</w:t>
            </w:r>
          </w:p>
        </w:tc>
        <w:tc>
          <w:tcPr>
            <w:tcW w:type="dxa" w:w="4320"/>
          </w:tcPr>
          <w:p>
            <w:r>
              <w:t>Visualiza apenas seus pedidos e documentos autorizados.</w:t>
            </w:r>
          </w:p>
        </w:tc>
      </w:tr>
    </w:tbl>
    <w:p>
      <w:pPr>
        <w:pStyle w:val="Heading1"/>
      </w:pPr>
      <w:r>
        <w:t>3. Campos do DEP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Grupo</w:t>
            </w:r>
          </w:p>
        </w:tc>
        <w:tc>
          <w:tcPr>
            <w:tcW w:type="dxa" w:w="4320"/>
          </w:tcPr>
          <w:p>
            <w:r>
              <w:t>Campos</w:t>
            </w:r>
          </w:p>
        </w:tc>
      </w:tr>
      <w:tr>
        <w:tc>
          <w:tcPr>
            <w:tcW w:type="dxa" w:w="4320"/>
          </w:tcPr>
          <w:p>
            <w:r>
              <w:t>Identificação</w:t>
            </w:r>
          </w:p>
        </w:tc>
        <w:tc>
          <w:tcPr>
            <w:tcW w:type="dxa" w:w="4320"/>
          </w:tcPr>
          <w:p>
            <w:r>
              <w:t>Número DEP, data/hora, cliente, vendedor vinculado ao login.</w:t>
            </w:r>
          </w:p>
        </w:tc>
      </w:tr>
      <w:tr>
        <w:tc>
          <w:tcPr>
            <w:tcW w:type="dxa" w:w="4320"/>
          </w:tcPr>
          <w:p>
            <w:r>
              <w:t>Logística</w:t>
            </w:r>
          </w:p>
        </w:tc>
        <w:tc>
          <w:tcPr>
            <w:tcW w:type="dxa" w:w="4320"/>
          </w:tcPr>
          <w:p>
            <w:r>
              <w:t>CIF/FOB, fábrica (Araucária, Almirante, Guaramirim), município, UF, endereço de entrega.</w:t>
            </w:r>
          </w:p>
        </w:tc>
      </w:tr>
      <w:tr>
        <w:tc>
          <w:tcPr>
            <w:tcW w:type="dxa" w:w="4320"/>
          </w:tcPr>
          <w:p>
            <w:r>
              <w:t>Itens</w:t>
            </w:r>
          </w:p>
        </w:tc>
        <w:tc>
          <w:tcPr>
            <w:tcW w:type="dxa" w:w="4320"/>
          </w:tcPr>
          <w:p>
            <w:r>
              <w:t>Produto digitável, quantidade em toneladas, campo S (significado a confirmar), valor por tonelada, embalagem.</w:t>
            </w:r>
          </w:p>
        </w:tc>
      </w:tr>
      <w:tr>
        <w:tc>
          <w:tcPr>
            <w:tcW w:type="dxa" w:w="4320"/>
          </w:tcPr>
          <w:p>
            <w:r>
              <w:t>Financeiro</w:t>
            </w:r>
          </w:p>
        </w:tc>
        <w:tc>
          <w:tcPr>
            <w:tcW w:type="dxa" w:w="4320"/>
          </w:tcPr>
          <w:p>
            <w:r>
              <w:t>Forma de pagamento, vencimento, comissão, frete por tonelada, subtotais e total.</w:t>
            </w:r>
          </w:p>
        </w:tc>
      </w:tr>
      <w:tr>
        <w:tc>
          <w:tcPr>
            <w:tcW w:type="dxa" w:w="4320"/>
          </w:tcPr>
          <w:p>
            <w:r>
              <w:t>Complementos</w:t>
            </w:r>
          </w:p>
        </w:tc>
        <w:tc>
          <w:tcPr>
            <w:tcW w:type="dxa" w:w="4320"/>
          </w:tcPr>
          <w:p>
            <w:r>
              <w:t>Período de retirada, observações, situação e aprovação.</w:t>
            </w:r>
          </w:p>
        </w:tc>
      </w:tr>
    </w:tbl>
    <w:p>
      <w:r>
        <w:t>Regra de cálculo: total de itens = Σ (toneladas × preço/ton); frete total = Σ toneladas × frete/ton; total do pedido = total de itens + frete total. Exemplo: 37 toneladas × R$ 100/ton = R$ 3.700 de frete. Confirmar tributação, descontos, taxas e arredondamento antes de uso financeiro.</w:t>
      </w:r>
    </w:p>
    <w:p>
      <w:pPr>
        <w:pStyle w:val="Heading1"/>
      </w:pPr>
      <w:r>
        <w:t>4. Fluxo operacional</w:t>
      </w:r>
    </w:p>
    <w:p>
      <w:r>
        <w:t>Cadastro de cliente → elaboração do DEP → salvamento de rascunho → submissão → aprovação pelo gestor → acompanhamento → arquivamento. Exclusão lógica limitada ao administrador. A edição e a devolução para correção são funcionalidades da fase seguinte.</w:t>
      </w:r>
    </w:p>
    <w:p>
      <w:pPr>
        <w:pStyle w:val="Heading1"/>
      </w:pPr>
      <w:r>
        <w:t>5. Identidade visual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Elemento</w:t>
            </w:r>
          </w:p>
        </w:tc>
        <w:tc>
          <w:tcPr>
            <w:tcW w:type="dxa" w:w="4320"/>
          </w:tcPr>
          <w:p>
            <w:r>
              <w:t>Diretriz</w:t>
            </w:r>
          </w:p>
        </w:tc>
      </w:tr>
      <w:tr>
        <w:tc>
          <w:tcPr>
            <w:tcW w:type="dxa" w:w="4320"/>
          </w:tcPr>
          <w:p>
            <w:r>
              <w:t>Marca</w:t>
            </w:r>
          </w:p>
        </w:tc>
        <w:tc>
          <w:tcPr>
            <w:tcW w:type="dxa" w:w="4320"/>
          </w:tcPr>
          <w:p>
            <w:r>
              <w:t>Fertilize Adubos, com identificação HUB discreta.</w:t>
            </w:r>
          </w:p>
        </w:tc>
      </w:tr>
      <w:tr>
        <w:tc>
          <w:tcPr>
            <w:tcW w:type="dxa" w:w="4320"/>
          </w:tcPr>
          <w:p>
            <w:r>
              <w:t>Paleta</w:t>
            </w:r>
          </w:p>
        </w:tc>
        <w:tc>
          <w:tcPr>
            <w:tcW w:type="dxa" w:w="4320"/>
          </w:tcPr>
          <w:p>
            <w:r>
              <w:t>Verde institucional aproximado #354D27; verde de apoio #66823E; fundo #F5F7F3; branco #FFFFFF; texto #243027. Validar com manual oficial.</w:t>
            </w:r>
          </w:p>
        </w:tc>
      </w:tr>
      <w:tr>
        <w:tc>
          <w:tcPr>
            <w:tcW w:type="dxa" w:w="4320"/>
          </w:tcPr>
          <w:p>
            <w:r>
              <w:t>Fontes</w:t>
            </w:r>
          </w:p>
        </w:tc>
        <w:tc>
          <w:tcPr>
            <w:tcW w:type="dxa" w:w="4320"/>
          </w:tcPr>
          <w:p>
            <w:r>
              <w:t>Inter para interface e tabelas; Manrope para títulos (fallback do protótipo: Inter/Arial).</w:t>
            </w:r>
          </w:p>
        </w:tc>
      </w:tr>
      <w:tr>
        <w:tc>
          <w:tcPr>
            <w:tcW w:type="dxa" w:w="4320"/>
          </w:tcPr>
          <w:p>
            <w:r>
              <w:t>Estilo</w:t>
            </w:r>
          </w:p>
        </w:tc>
        <w:tc>
          <w:tcPr>
            <w:tcW w:type="dxa" w:w="4320"/>
          </w:tcPr>
          <w:p>
            <w:r>
              <w:t>Corporativo, clean, compacto, funcional; evitar gradientes exuberantes e cartões decorativos.</w:t>
            </w:r>
          </w:p>
        </w:tc>
      </w:tr>
    </w:tbl>
    <w:p>
      <w:pPr>
        <w:pStyle w:val="Heading1"/>
      </w:pPr>
      <w:r>
        <w:t>6. Segurança e privacidade</w:t>
      </w:r>
    </w:p>
    <w:p>
      <w:pPr>
        <w:pStyle w:val="ListBullet"/>
      </w:pPr>
      <w:r>
        <w:t>HTTPS obrigatório em produção, configuração de raiz pública isolada (`public/`).</w:t>
      </w:r>
    </w:p>
    <w:p>
      <w:pPr>
        <w:pStyle w:val="ListBullet"/>
      </w:pPr>
      <w:r>
        <w:t>Senhas Argon2id; 2FA TOTP para admin e gestor; sessão com cookies seguros; CSRF.</w:t>
      </w:r>
    </w:p>
    <w:p>
      <w:pPr>
        <w:pStyle w:val="ListBullet"/>
      </w:pPr>
      <w:r>
        <w:t>Autorização no servidor em cada ação e escopo por cliente nas consultas.</w:t>
      </w:r>
    </w:p>
    <w:p>
      <w:pPr>
        <w:pStyle w:val="ListBullet"/>
      </w:pPr>
      <w:r>
        <w:t>Exclusão lógica, registro de atividades, exportação restrita, erros técnicos fora da interface.</w:t>
      </w:r>
    </w:p>
    <w:p>
      <w:pPr>
        <w:pStyle w:val="ListBullet"/>
      </w:pPr>
      <w:r>
        <w:t>Próxima etapa obrigatória: revisão de vulnerabilidades, reforço de rate limiting, backups externos testados, política LGPD, revisão OWASP ASVS e auditoria independente.</w:t>
      </w:r>
    </w:p>
    <w:p>
      <w:pPr>
        <w:pStyle w:val="Heading1"/>
      </w:pPr>
      <w:r>
        <w:t>7. Arquitetura inicial</w:t>
      </w:r>
    </w:p>
    <w:p>
      <w:r>
        <w:t>Backend PHP 8.2+ com PDO e consultas preparadas, banco MySQL/MariaDB, frontend HTML/CSS/JavaScript sem serviços externos obrigatórios. Projeto dividido em app/, public/, database/, bin/ e docs/. Hospedagem cPanel apenas se permitir document root seguro em public/, PHP atualizado e execução de comandos CLI.</w:t>
      </w:r>
    </w:p>
    <w:p>
      <w:pPr>
        <w:pStyle w:val="Heading1"/>
      </w:pPr>
      <w:r>
        <w:t>8. Implementado na versão 0.1</w:t>
      </w:r>
    </w:p>
    <w:p>
      <w:pPr>
        <w:pStyle w:val="ListBullet"/>
      </w:pPr>
      <w:r>
        <w:t>Login e perfis; TOTP para administradores/gestores provisionado por CLI; painel resumido.</w:t>
      </w:r>
    </w:p>
    <w:p>
      <w:pPr>
        <w:pStyle w:val="ListBullet"/>
      </w:pPr>
      <w:r>
        <w:t>Listagem e cadastro de clientes; visualização de usuários; criação de DEP com itens e cálculo no servidor.</w:t>
      </w:r>
    </w:p>
    <w:p>
      <w:pPr>
        <w:pStyle w:val="ListBullet"/>
      </w:pPr>
      <w:r>
        <w:t>Envio para aprovação, aprovação, arquivamento, exclusão lógica e eventos de auditoria.</w:t>
      </w:r>
    </w:p>
    <w:p>
      <w:pPr>
        <w:pStyle w:val="ListBullet"/>
      </w:pPr>
      <w:r>
        <w:t>Visualização de DEP, impressão com possibilidade de salvar em PDF pelo navegador; exportação CSV para gestores/admin.</w:t>
      </w:r>
    </w:p>
    <w:p>
      <w:pPr>
        <w:pStyle w:val="Heading1"/>
      </w:pPr>
      <w:r>
        <w:t>9. Backlog para a sequência</w:t>
      </w:r>
    </w:p>
    <w:p>
      <w:pPr>
        <w:pStyle w:val="Heading2"/>
      </w:pPr>
      <w:r>
        <w:t>Fase 1 — completar operação</w:t>
      </w:r>
    </w:p>
    <w:p>
      <w:r>
        <w:t>Edição com versionamento; cadastro de produtos e embalagens; gestão de usuários via interface; fluxo de devolução/reprovação; PDF servidor; recuperação segura de conta; filtros e relatórios.</w:t>
      </w:r>
    </w:p>
    <w:p>
      <w:pPr>
        <w:pStyle w:val="Heading2"/>
      </w:pPr>
      <w:r>
        <w:t>Fase 2 — robustez</w:t>
      </w:r>
    </w:p>
    <w:p>
      <w:r>
        <w:t>Testes automatizados e de segurança; infraestrutura de backup/observabilidade; notificações; permissões granulares; retenção e LGPD; governança de dados.</w:t>
      </w:r>
    </w:p>
    <w:p>
      <w:pPr>
        <w:pStyle w:val="Heading2"/>
      </w:pPr>
      <w:r>
        <w:t>Fase 3 — inteligência</w:t>
      </w:r>
    </w:p>
    <w:p>
      <w:r>
        <w:t>Assistente com base de conhecimento do produto e consultas de dados autorizadas; métricas, explicações e limites explícitos; avaliação de custo e privacidade.</w:t>
      </w:r>
    </w:p>
    <w:p>
      <w:pPr>
        <w:pStyle w:val="Heading1"/>
      </w:pPr>
      <w:r>
        <w:t>10. Pendências para validação com a Fertilize</w:t>
      </w:r>
    </w:p>
    <w:p>
      <w:pPr>
        <w:pStyle w:val="ListBullet"/>
      </w:pPr>
      <w:r>
        <w:t>Confirmar significado exato do campo “S” no DEP e tratamentos de embalagem.</w:t>
      </w:r>
    </w:p>
    <w:p>
      <w:pPr>
        <w:pStyle w:val="ListBullet"/>
      </w:pPr>
      <w:r>
        <w:t>Confirmar nomenclatura correta das três fábricas e se “região” equivale sempre à fábrica.</w:t>
      </w:r>
    </w:p>
    <w:p>
      <w:pPr>
        <w:pStyle w:val="ListBullet"/>
      </w:pPr>
      <w:r>
        <w:t>Confirmar fórmulas de comissão, impostos, descontos, custos de frete CIF/FOB e regras de arredondamento.</w:t>
      </w:r>
    </w:p>
    <w:p>
      <w:pPr>
        <w:pStyle w:val="ListBullet"/>
      </w:pPr>
      <w:r>
        <w:t>Determinar quem pode editar/aprovar pedidos e quando um pedido pode ser excluído.</w:t>
      </w:r>
    </w:p>
    <w:p>
      <w:pPr>
        <w:pStyle w:val="ListBullet"/>
      </w:pPr>
      <w:r>
        <w:t>Definir requisitos de relatórios, retenção, exportações e dados de clientes.</w:t>
      </w:r>
    </w:p>
    <w:p>
      <w:pPr>
        <w:pStyle w:val="ListBullet"/>
      </w:pPr>
      <w:r>
        <w:t>Definir hospedagem, acesso SSH, backups e responsáveis por gestão de contas.</w:t>
      </w:r>
    </w:p>
    <w:p>
      <w:pPr>
        <w:pStyle w:val="Heading1"/>
      </w:pPr>
      <w:r>
        <w:t>11. Publicação — requisitos mínimos</w:t>
      </w:r>
    </w:p>
    <w:p>
      <w:r>
        <w:t>O pacote fornecido é para desenvolvimento e homologação. Não apontar o subdomínio para a pasta raiz do projeto. O document root deve apontar para public/. Criar `.env` com chave aleatória e credenciais, importar banco, criar administrador via CLI e habilitar TOTP. Conferir README.md. Não inserir dados pessoais reais até a verificação de segurança e conformidade.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Fertilize Hub  •  Especificação inicial sujeita à aprovação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FERTILIZE  /  HUB                                        DOCUMENTAÇÃO TÉCNICA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C372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9522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39522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395227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